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护理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心理</w:t>
      </w:r>
      <w:r>
        <w:rPr>
          <w:rFonts w:hint="eastAsia" w:ascii="仿宋" w:hAnsi="仿宋" w:eastAsia="仿宋"/>
          <w:b/>
          <w:bCs/>
          <w:sz w:val="32"/>
          <w:szCs w:val="32"/>
        </w:rPr>
        <w:t>学“课程思政”案例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234"/>
        <w:gridCol w:w="2253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护理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理论16，实践3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本科护理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杨昕岳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身边的榜样郝莺歌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思政元素类型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责任担当、敬业奉献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案例所属教学内容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章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护理教学的心理学基础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知识目标：阐述各种学习理论的主要观点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 行为主义学习理论、认知学习理论、社会学习理论、人本主义学习理论、建构主义学习理论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技能目标：根据学习任务特点，选择应用合适的学习理论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思政目标：尊重学生心理活动规律，树立以学生为中心的教育理念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案例描述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2020年春，武汉疫情爆发，河南省新乡医学院三全学院2016级医学检验技术专业医学实习生郝莺歌，退掉火车票，放弃和父母团圆的机会，毫不犹豫地留在武汉参加战“疫”，从事危险性极高的病毒检测工作，用行动诠释了一名医学生的责任和担当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“我是一名医学生，新冠病毒的核酸检测工作正好和我所学专业对口，留下来，是我的责任。”郝莺歌说。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“如果说前段时间是新兵入伍训练加演习的日子，那最近这两个月就是在战场上真正‘拼杀’。每一场战斗都需要一批战士，我很荣幸能够成为抗疫大军中的一员。”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她也曾自问：为什么要留下来？内心给出的答案竟是刚进大学时许下的誓言：我志愿献身医学，热爱祖国，忠于人民，恪守医德，尊师守纪，刻苦钻研，孜孜不倦，精益求精，全面发展……为祖国医药卫生事业的发展和人类身心健康奋斗终生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　“虽然我没有誓言写的那么伟大，但是我愿意尽我所能。”郝莺歌说。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仿宋" w:hAnsi="仿宋" w:eastAsia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郝莺歌同学作为我们学校的学生，和大家有相似的年龄和经历，她能做到的事情，相信大家也能做到。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案例融入方式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案例式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教学设计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课前预习：教师提前一周在雨课堂上发布课件，并推送学习清单，明确学习任务。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课中学习;</w:t>
            </w:r>
          </w:p>
          <w:p>
            <w:pPr>
              <w:numPr>
                <w:numId w:val="0"/>
              </w:numPr>
              <w:autoSpaceDE w:val="0"/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使学生理解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五种学习理论的基本原理以及如何根据这些原理指导护理教学；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课后复习：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发送讨论题，让学生利用课堂上所学的学习理论进行解释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  <w:p>
            <w:pPr>
              <w:autoSpaceDE w:val="0"/>
              <w:adjustRightInd w:val="0"/>
              <w:snapToGrid w:val="0"/>
              <w:spacing w:line="360" w:lineRule="auto"/>
              <w:rPr>
                <w:rFonts w:hint="default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教学反思</w:t>
            </w:r>
          </w:p>
        </w:tc>
        <w:tc>
          <w:tcPr>
            <w:tcW w:w="70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郝莺歌的案例，能佐证榜样特点对观察学习的影响因素，同时郝莺歌身上所体现的责任担当、敬业奉献，以及情系人民的赤字情怀更能极大的触发学生心灵。</w:t>
            </w:r>
          </w:p>
        </w:tc>
      </w:tr>
    </w:tbl>
    <w:p>
      <w:pPr>
        <w:autoSpaceDE w:val="0"/>
        <w:adjustRightInd w:val="0"/>
        <w:snapToGrid w:val="0"/>
        <w:spacing w:line="360" w:lineRule="auto"/>
        <w:jc w:val="both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zODg2MjhkZjY4ZWRmNjc0MDQ1NTg3MWEzZWUzZTYifQ=="/>
  </w:docVars>
  <w:rsids>
    <w:rsidRoot w:val="4468155F"/>
    <w:rsid w:val="4468155F"/>
    <w:rsid w:val="50076E22"/>
    <w:rsid w:val="537B68AD"/>
    <w:rsid w:val="618004AB"/>
    <w:rsid w:val="71F47AF7"/>
    <w:rsid w:val="79BA2CB2"/>
    <w:rsid w:val="7F84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1146</Characters>
  <Lines>0</Lines>
  <Paragraphs>0</Paragraphs>
  <TotalTime>0</TotalTime>
  <ScaleCrop>false</ScaleCrop>
  <LinksUpToDate>false</LinksUpToDate>
  <CharactersWithSpaces>1173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2023-03-07T01:52:00Z</dcterms:created>
  <dc:creator>新月如钩</dc:creator>
  <cp:lastModifiedBy>新月如钩</cp:lastModifiedBy>
  <dcterms:modified xsi:type="dcterms:W3CDTF">2023-10-13T07:50:16Z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E2A3B8D0AAC24BD4A2C2FECE08FC9C8F</vt:lpwstr>
  </property>
</Properties>
</file>